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宋体" w:cs="方正小标宋简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市场调研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表</w:t>
      </w:r>
    </w:p>
    <w:tbl>
      <w:tblPr>
        <w:tblStyle w:val="2"/>
        <w:tblpPr w:leftFromText="180" w:rightFromText="180" w:vertAnchor="text" w:horzAnchor="page" w:tblpX="1800" w:tblpY="288"/>
        <w:tblOverlap w:val="never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4770"/>
        <w:gridCol w:w="136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市场调研报价表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一、体系文件建立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1、建立药物和医疗器械质量管理体系文件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2、建立机构、伦理及专业科室制度文件、SOP文件、应急预案等管理文件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二、组织架构建立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协助机构组织架构的建立、伦理委员会的成立、专业科室和人员的筛选和建立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三、培训体系建设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开展机构、伦理、科室的制度、SOP等管理文件的培训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2、全体人员进行GCP相关政策法规、岗位职责等内容的培训及考核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四、GCP取证培训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组织机构、伦理及专业科室相关人员完成GCP培训并取得证书（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注明证书的份数，及提供培训的单位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五、主要研究者备案资质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推荐及联系可进修的医院、推荐可引进的研究者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六、场地设施建设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提供场地设施建设方案，协助院方完成场地选址及场地规划等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</w:t>
            </w: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第三方现场评估检查</w:t>
            </w:r>
            <w:bookmarkEnd w:id="0"/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1、评估前完成相关人员培训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2、组织省级学会专家开展临床试验机构现场评估工作（含机构、伦理、专业科室、试验药物管理等），出具评估报告，协助整改直至达到备案申报条件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八、备案注册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编制药物和医疗器械临床试验机构备案申报文件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，协助完成备案系统备案（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注明药物和器械专业科室备案数量及价格）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2、协助临床试验伦理委员会在“医学研究登记备案信息系统”中备案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九、现场检查，完成备案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1、配合医院完成检查前准备工作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2、配合我院机构、伦理、各申报专业完成国家药品监督管理局组织的现场检查，协助取得备案号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十、后续服务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iCs/>
                <w:sz w:val="24"/>
                <w:szCs w:val="24"/>
              </w:rPr>
              <w:t>协助机构推广，备案通过后一年内引入至少两项药物临床试验项目，协助首个项目全过程服务。后期运营过程中存</w:t>
            </w:r>
            <w:r>
              <w:rPr>
                <w:rFonts w:hint="eastAsia" w:ascii="宋体" w:hAnsi="宋体"/>
                <w:iCs/>
                <w:snapToGrid w:val="0"/>
                <w:kern w:val="0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iCs/>
                <w:sz w:val="24"/>
                <w:szCs w:val="24"/>
              </w:rPr>
              <w:t>项目相关问题可给予建议</w:t>
            </w:r>
            <w:bookmarkStart w:id="1" w:name="_GoBack"/>
            <w:bookmarkEnd w:id="1"/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十一、其他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若需增加栏目，请在此栏目填写，并作详细说明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备注：1.此报价应包括服务成本、企业管理费、法定税费和企业的利润等全部费用。由供应商根据服务需求自行测算报价。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30" w:type="dxa"/>
              <w:bottom w:w="17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B086D"/>
    <w:rsid w:val="01071F61"/>
    <w:rsid w:val="06211120"/>
    <w:rsid w:val="09226B52"/>
    <w:rsid w:val="0B432AB8"/>
    <w:rsid w:val="0B851A9B"/>
    <w:rsid w:val="0F0B086D"/>
    <w:rsid w:val="107933AE"/>
    <w:rsid w:val="11B34041"/>
    <w:rsid w:val="123711C6"/>
    <w:rsid w:val="162129B0"/>
    <w:rsid w:val="1E7A1DC7"/>
    <w:rsid w:val="205E38F5"/>
    <w:rsid w:val="23BE4654"/>
    <w:rsid w:val="2C681AB5"/>
    <w:rsid w:val="331A545E"/>
    <w:rsid w:val="3CCA76AB"/>
    <w:rsid w:val="3E671651"/>
    <w:rsid w:val="405D24FC"/>
    <w:rsid w:val="4E474A2C"/>
    <w:rsid w:val="52C573D9"/>
    <w:rsid w:val="56F178E3"/>
    <w:rsid w:val="59BA6990"/>
    <w:rsid w:val="60E53360"/>
    <w:rsid w:val="62FD6CA7"/>
    <w:rsid w:val="67E30EA9"/>
    <w:rsid w:val="6E116E31"/>
    <w:rsid w:val="6EE537F1"/>
    <w:rsid w:val="75F5259C"/>
    <w:rsid w:val="768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2026-06-23T07:25:00Z</dcterms:created>
  <dc:creator>Administrator</dc:creator>
  <cp:lastModifiedBy>Administrator</cp:lastModifiedBy>
  <dcterms:modified xsi:type="dcterms:W3CDTF">2026-06-25T00:53:05Z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